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 2012 9 vom 12. November 2013</w:t>
      </w:r>
    </w:p>
    <w:p>
      <w:r>
        <w:t>GR Gerichte, 2013-11-12, DE</w:t>
      </w:r>
    </w:p>
    <w:p>
      <w:r>
        <w:rPr>
          <w:b/>
        </w:rPr>
        <w:t xml:space="preserve">Quelle: </w:t>
      </w:r>
      <w:r>
        <w:t>https://mcp.opencaselaw.ch/entscheid/gr_gerichte_V 2012 9</w:t>
      </w:r>
    </w:p>
    <w:p>
      <w:r>
        <w:t>FR: GR_GERICHTE V 2012 9 du 12 novembre 2013</w:t>
      </w:r>
    </w:p>
    <w:p>
      <w:r>
        <w:t>IT: GR_GERICHTE V 2012 9 del 12 novembre 2013</w:t>
      </w:r>
    </w:p>
    <w:p>
      <w:pPr>
        <w:pStyle w:val="Heading2"/>
      </w:pPr>
      <w:r>
        <w:t>Regeste</w:t>
      </w:r>
    </w:p>
    <w:p>
      <w:r>
        <w:t>Verfassungsbeschwerde | politische Rechte</w:t>
      </w:r>
    </w:p>
    <w:p>
      <w:pPr>
        <w:pStyle w:val="Heading2"/>
      </w:pPr>
      <w:r>
        <w:t>Erwägungen</w:t>
      </w:r>
    </w:p>
    <w:p>
      <w:r>
        <w:rPr>
          <w:b/>
        </w:rPr>
        <w:t>E. 7</w:t>
      </w:r>
    </w:p>
    <w:p>
      <w:r>
        <w:t>a) Der angefochtene Artikel 32 des neuen Schulgesetzes ist demnach rechtmässig und sachlich gerechtfertigt, was zur Abweisung der Be- schwerde vom 12. September 2012 führt. b) Aufgrund der und Wichtigkeit dieses Entscheides für alle Beteiligten ver- zichtet das angerufene Gericht (ausnahmsweise) auf die Erhebung von Gerichtskosten. Bund, Kanton und Gemeinden sowie mit öffentlich- rechtlichen Aufgaben betrauten Organisationen wird gemäss Art. 78 Abs. 2 VRG in der Regel keine Parteientschädigung zugesprochen, wenn sie in ihrem amtlichen Wirkungskreis obsiegen. Davon abzuweichen besteht vorliegend kein Anlass. Weil die Beschwerdegegner lediglich in ihrem amtlichen Wirkungskreis obsiegen, steht ihnen keine Parteientschädigung zu.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